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0E" w:rsidRDefault="00BC764C" w:rsidP="004345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#83</w:t>
      </w:r>
      <w:r w:rsidR="0043450E">
        <w:rPr>
          <w:b/>
          <w:i/>
          <w:noProof/>
          <w:sz w:val="28"/>
        </w:rPr>
        <w:tab/>
      </w:r>
      <w:r w:rsidR="009446A9" w:rsidRPr="009446A9">
        <w:rPr>
          <w:b/>
          <w:i/>
          <w:noProof/>
          <w:sz w:val="28"/>
        </w:rPr>
        <w:t>R4-1705453</w:t>
      </w:r>
    </w:p>
    <w:p w:rsidR="0043450E" w:rsidRDefault="00BC764C" w:rsidP="004345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43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3450E">
        <w:rPr>
          <w:b/>
          <w:noProof/>
          <w:sz w:val="24"/>
        </w:rPr>
        <w:t xml:space="preserve">,  Date </w:t>
      </w:r>
      <w:r>
        <w:rPr>
          <w:b/>
          <w:noProof/>
          <w:sz w:val="24"/>
        </w:rPr>
        <w:t>15</w:t>
      </w:r>
      <w:r w:rsidRPr="00BC7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50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43450E" w:rsidRPr="00EB72E3">
        <w:rPr>
          <w:b/>
          <w:noProof/>
          <w:sz w:val="24"/>
          <w:vertAlign w:val="superscript"/>
        </w:rPr>
        <w:t>th</w:t>
      </w:r>
      <w:r w:rsidR="004345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3450E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4787A">
        <w:rPr>
          <w:sz w:val="22"/>
        </w:rPr>
        <w:t>Band 31 DTT protection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446A9">
        <w:rPr>
          <w:b/>
          <w:sz w:val="22"/>
        </w:rPr>
        <w:t>9.2.2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787A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Default="00FB3BEB" w:rsidP="0043450E">
      <w:r>
        <w:t xml:space="preserve">In RAN#74 a WI [1] was approved for introduction of </w:t>
      </w:r>
      <w:r w:rsidRPr="00B4787A">
        <w:t>LTE PPDR and PMR/PAMR</w:t>
      </w:r>
      <w:r>
        <w:t xml:space="preserve"> systems for 450 MHz for Europe. In the scope of the WI two possible new bands were mentioned </w:t>
      </w:r>
    </w:p>
    <w:p w:rsidR="00FB3BEB" w:rsidRDefault="00FB3BEB" w:rsidP="00FB3BEB">
      <w:pPr>
        <w:numPr>
          <w:ilvl w:val="0"/>
          <w:numId w:val="1"/>
        </w:numPr>
        <w:ind w:left="1843" w:hanging="436"/>
        <w:rPr>
          <w:lang w:val="en-US"/>
        </w:rPr>
      </w:pPr>
      <w:r>
        <w:rPr>
          <w:lang w:val="en-US"/>
        </w:rPr>
        <w:t>2x5MHz within 450,5 – 456 MHz (UL) / 460,5 – 466 MHz (DL) and 2x5MHz within 452 – 457,5 MHz (UL) / 462 – 467,5 MHz (DL)</w:t>
      </w:r>
    </w:p>
    <w:p w:rsidR="00FB3BEB" w:rsidRDefault="00FB3BEB" w:rsidP="0043450E">
      <w:pPr>
        <w:rPr>
          <w:lang w:val="en-US"/>
        </w:rPr>
      </w:pPr>
      <w:r>
        <w:rPr>
          <w:lang w:val="en-US"/>
        </w:rPr>
        <w:t>In RAN4#82bis following agreement was reached</w:t>
      </w:r>
    </w:p>
    <w:p w:rsidR="00FB3BEB" w:rsidRPr="00FB3BEB" w:rsidRDefault="00FB3BEB" w:rsidP="00FB3BEB">
      <w:pPr>
        <w:ind w:left="1420"/>
        <w:rPr>
          <w:lang w:val="en-US"/>
        </w:rPr>
      </w:pPr>
      <w:r w:rsidRPr="00FB3BEB">
        <w:rPr>
          <w:lang w:val="en-US"/>
        </w:rPr>
        <w:t>Proposal 1: to agree on the following band plan.</w:t>
      </w:r>
    </w:p>
    <w:p w:rsidR="00FB3BEB" w:rsidRPr="00FB3BEB" w:rsidRDefault="00FB3BEB" w:rsidP="00FB3BEB">
      <w:pPr>
        <w:ind w:left="1420"/>
        <w:rPr>
          <w:lang w:val="en-US"/>
        </w:rPr>
      </w:pPr>
      <w:r w:rsidRPr="00FB3BEB">
        <w:rPr>
          <w:lang w:val="en-US"/>
        </w:rPr>
        <w:t>•</w:t>
      </w:r>
      <w:r w:rsidRPr="00FB3BEB">
        <w:rPr>
          <w:lang w:val="en-US"/>
        </w:rPr>
        <w:tab/>
        <w:t>2x5MHz: 451 – 456 MHz (UL) / 461 – 466 MHz (DL) [new band]</w:t>
      </w:r>
    </w:p>
    <w:p w:rsidR="00FB3BEB" w:rsidRDefault="00FB3BEB" w:rsidP="00FB3BEB">
      <w:pPr>
        <w:ind w:left="1420"/>
        <w:rPr>
          <w:lang w:val="en-US"/>
        </w:rPr>
      </w:pPr>
      <w:r w:rsidRPr="00FB3BEB">
        <w:rPr>
          <w:lang w:val="en-US"/>
        </w:rPr>
        <w:t>•</w:t>
      </w:r>
      <w:r w:rsidRPr="00FB3BEB">
        <w:rPr>
          <w:lang w:val="en-US"/>
        </w:rPr>
        <w:tab/>
        <w:t>2x5MHz: 452.5 – 457.5 MHz (UL) / 462.5 – 4675.5 MHz (DL) [re-use Band 31]</w:t>
      </w:r>
    </w:p>
    <w:p w:rsidR="00FB3BEB" w:rsidRPr="00FB3BEB" w:rsidRDefault="00FB3BEB" w:rsidP="00FB3BEB">
      <w:pPr>
        <w:rPr>
          <w:lang w:val="en-US"/>
        </w:rPr>
      </w:pPr>
      <w:r>
        <w:rPr>
          <w:lang w:val="en-US"/>
        </w:rPr>
        <w:t>However current Band 31 requirements do not protect DTT services are required by ECC decision [3].</w:t>
      </w:r>
      <w:r w:rsidR="00241D40">
        <w:rPr>
          <w:lang w:val="en-US"/>
        </w:rPr>
        <w:t xml:space="preserve"> Protection requirement is -42 dBm / 8 MHz for frequencies above 470 MHz. In this contribution we show that it is feasible to add this protection requirement for band 31 as UEs will inherently meet the requirement.</w:t>
      </w:r>
    </w:p>
    <w:p w:rsidR="0043450E" w:rsidRDefault="0043450E" w:rsidP="0043450E">
      <w:pPr>
        <w:pStyle w:val="Heading1"/>
      </w:pPr>
      <w:bookmarkStart w:id="1" w:name="_Toc286177644"/>
      <w:r>
        <w:t>2</w:t>
      </w:r>
      <w:r>
        <w:tab/>
        <w:t>Discussion</w:t>
      </w:r>
    </w:p>
    <w:p w:rsidR="0043450E" w:rsidRDefault="0084611E" w:rsidP="0043450E">
      <w:r>
        <w:t>Figure 1 presents band 31 frequency relation towards DTT band. As can be observed band 31 downlink is between band 31 uplink and DTT band which suggests substancial duplex-fiter attenuation from band 31 uplink towards DTT band.</w:t>
      </w:r>
    </w:p>
    <w:p w:rsidR="0084611E" w:rsidRDefault="0084611E" w:rsidP="0084611E">
      <w:pPr>
        <w:keepNext/>
      </w:pPr>
      <w:r w:rsidRPr="0084611E">
        <w:rPr>
          <w:noProof/>
          <w:lang w:val="fi-FI" w:eastAsia="fi-FI"/>
        </w:rPr>
        <w:drawing>
          <wp:inline distT="0" distB="0" distL="0" distR="0">
            <wp:extent cx="6120765" cy="760390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6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11E" w:rsidRDefault="0084611E" w:rsidP="0084611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450 MHz frequency arrengements</w:t>
      </w:r>
    </w:p>
    <w:p w:rsidR="0084611E" w:rsidRDefault="006F21FA" w:rsidP="0084611E">
      <w:r>
        <w:t>Figure 2 presents simulation results for band 31 UE Tx emissions for full 5 MHz channel and for 5 MHz channel with 1 RB allocation in worst case position. Simulations are done without duplex-filter attenuation hence the real emissions are reduced by the amount of filter attenuation at DTT frequencies.</w:t>
      </w:r>
    </w:p>
    <w:p w:rsidR="006F21FA" w:rsidRDefault="006F21FA" w:rsidP="0084611E">
      <w:r>
        <w:t>From the results we can see that for the case of 1 RB the UE emissions even without filter attenuation are approximately 10 dB below -42 dBm / 8 MHz limit. For the case of full 25 RB allocation the UE emissions exeeed the – 42 dBm / 8 MHz limit by approximately 5 dB when no filter attenuation is considered.</w:t>
      </w:r>
    </w:p>
    <w:p w:rsidR="006F21FA" w:rsidRDefault="006F21FA" w:rsidP="0084611E">
      <w:r>
        <w:t>As the B31 duplex-filter attenuation at DTT band</w:t>
      </w:r>
      <w:r w:rsidR="00F27B0A">
        <w:t xml:space="preserve"> will be several dozen of decibels the DTT protection is inherently guaranteed. Therefore we propose following.</w:t>
      </w:r>
    </w:p>
    <w:p w:rsidR="00F27B0A" w:rsidRPr="00A130D5" w:rsidRDefault="00F27B0A" w:rsidP="0084611E">
      <w:pPr>
        <w:rPr>
          <w:b/>
        </w:rPr>
      </w:pPr>
      <w:r w:rsidRPr="00A130D5">
        <w:rPr>
          <w:b/>
        </w:rPr>
        <w:t xml:space="preserve">Proposal: Update band 31 requirements to include DTT protection of </w:t>
      </w:r>
      <w:r w:rsidR="00A130D5" w:rsidRPr="00A130D5">
        <w:rPr>
          <w:b/>
        </w:rPr>
        <w:t>-42 dBm / 8 MHz above 470 MHz.</w:t>
      </w:r>
    </w:p>
    <w:p w:rsidR="0084611E" w:rsidRDefault="006F21FA" w:rsidP="0084611E">
      <w:r>
        <w:rPr>
          <w:noProof/>
          <w:lang w:val="fi-FI" w:eastAsia="fi-FI"/>
        </w:rPr>
        <w:lastRenderedPageBreak/>
        <w:drawing>
          <wp:inline distT="0" distB="0" distL="0" distR="0">
            <wp:extent cx="2955600" cy="288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B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i-FI" w:eastAsia="fi-FI"/>
        </w:rPr>
        <w:drawing>
          <wp:inline distT="0" distB="0" distL="0" distR="0">
            <wp:extent cx="2955600" cy="288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 RB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1FA" w:rsidRDefault="006F21FA" w:rsidP="006F21FA">
      <w:pPr>
        <w:pStyle w:val="Caption"/>
      </w:pPr>
      <w:r>
        <w:t>Figure 2: Band 31 UE Tx emissions</w:t>
      </w:r>
    </w:p>
    <w:bookmarkEnd w:id="1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9B4511" w:rsidP="0043450E">
      <w:r>
        <w:t>In this contribution we have discussed the necessary DTT band protection of Band 31 UE and shown that the protection requirement of -42 dBm / 8 MHz will be inherently met. Therefore we make following proposal.</w:t>
      </w:r>
    </w:p>
    <w:p w:rsidR="009B4511" w:rsidRPr="00A130D5" w:rsidRDefault="009B4511" w:rsidP="009B4511">
      <w:pPr>
        <w:rPr>
          <w:b/>
        </w:rPr>
      </w:pPr>
      <w:r w:rsidRPr="00A130D5">
        <w:rPr>
          <w:b/>
        </w:rPr>
        <w:t>Proposal: Update band 31 requirements to include DTT protection of -42 dBm / 8 MHz above 470 MHz.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B4787A">
      <w:r>
        <w:t xml:space="preserve">[1] </w:t>
      </w:r>
      <w:r w:rsidRPr="00B4787A">
        <w:t>RP-162514</w:t>
      </w:r>
      <w:r>
        <w:t xml:space="preserve">, </w:t>
      </w:r>
      <w:r w:rsidRPr="00B4787A">
        <w:t>New WI proposal: 450MHz E-UTRA FDD Band for LTE PPDR and PMR/PAMR in Europe</w:t>
      </w:r>
      <w:r>
        <w:t>, RAN#74</w:t>
      </w:r>
    </w:p>
    <w:p w:rsidR="00FB3BEB" w:rsidRDefault="00FB3BEB">
      <w:r>
        <w:t xml:space="preserve">[2] </w:t>
      </w:r>
      <w:r w:rsidRPr="00FB3BEB">
        <w:t>R4-1703211</w:t>
      </w:r>
      <w:r>
        <w:t xml:space="preserve">, </w:t>
      </w:r>
      <w:r w:rsidRPr="00FB3BEB">
        <w:t>On the 450 MHz FDD band in Europe – Band arrangement</w:t>
      </w:r>
      <w:r>
        <w:t>, Intel Corporation, RAN4#82bis</w:t>
      </w:r>
    </w:p>
    <w:p w:rsidR="00FB3BEB" w:rsidRDefault="00FB3BEB">
      <w:r>
        <w:t xml:space="preserve">[3] </w:t>
      </w:r>
      <w:r w:rsidRPr="00FB3BEB">
        <w:t>ECC Decision (16)02</w:t>
      </w:r>
    </w:p>
    <w:sectPr w:rsidR="00FB3BE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30E" w:rsidRDefault="0092030E" w:rsidP="002B3503">
      <w:pPr>
        <w:spacing w:after="0"/>
      </w:pPr>
      <w:r>
        <w:separator/>
      </w:r>
    </w:p>
  </w:endnote>
  <w:endnote w:type="continuationSeparator" w:id="0">
    <w:p w:rsidR="0092030E" w:rsidRDefault="0092030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30E" w:rsidRDefault="0092030E" w:rsidP="002B3503">
      <w:pPr>
        <w:spacing w:after="0"/>
      </w:pPr>
      <w:r>
        <w:separator/>
      </w:r>
    </w:p>
  </w:footnote>
  <w:footnote w:type="continuationSeparator" w:id="0">
    <w:p w:rsidR="0092030E" w:rsidRDefault="0092030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30FC5"/>
    <w:multiLevelType w:val="hybridMultilevel"/>
    <w:tmpl w:val="7B062002"/>
    <w:lvl w:ilvl="0" w:tplc="80EC5028">
      <w:start w:val="1"/>
      <w:numFmt w:val="lowerRoman"/>
      <w:lvlText w:val="%1."/>
      <w:lvlJc w:val="left"/>
      <w:pPr>
        <w:ind w:left="277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133" w:hanging="360"/>
      </w:pPr>
    </w:lvl>
    <w:lvl w:ilvl="2" w:tplc="040C001B" w:tentative="1">
      <w:start w:val="1"/>
      <w:numFmt w:val="lowerRoman"/>
      <w:lvlText w:val="%3."/>
      <w:lvlJc w:val="right"/>
      <w:pPr>
        <w:ind w:left="3853" w:hanging="180"/>
      </w:pPr>
    </w:lvl>
    <w:lvl w:ilvl="3" w:tplc="040C000F" w:tentative="1">
      <w:start w:val="1"/>
      <w:numFmt w:val="decimal"/>
      <w:lvlText w:val="%4."/>
      <w:lvlJc w:val="left"/>
      <w:pPr>
        <w:ind w:left="4573" w:hanging="360"/>
      </w:pPr>
    </w:lvl>
    <w:lvl w:ilvl="4" w:tplc="040C0019" w:tentative="1">
      <w:start w:val="1"/>
      <w:numFmt w:val="lowerLetter"/>
      <w:lvlText w:val="%5."/>
      <w:lvlJc w:val="left"/>
      <w:pPr>
        <w:ind w:left="5293" w:hanging="360"/>
      </w:pPr>
    </w:lvl>
    <w:lvl w:ilvl="5" w:tplc="040C001B" w:tentative="1">
      <w:start w:val="1"/>
      <w:numFmt w:val="lowerRoman"/>
      <w:lvlText w:val="%6."/>
      <w:lvlJc w:val="right"/>
      <w:pPr>
        <w:ind w:left="6013" w:hanging="180"/>
      </w:pPr>
    </w:lvl>
    <w:lvl w:ilvl="6" w:tplc="040C000F" w:tentative="1">
      <w:start w:val="1"/>
      <w:numFmt w:val="decimal"/>
      <w:lvlText w:val="%7."/>
      <w:lvlJc w:val="left"/>
      <w:pPr>
        <w:ind w:left="6733" w:hanging="360"/>
      </w:pPr>
    </w:lvl>
    <w:lvl w:ilvl="7" w:tplc="040C0019" w:tentative="1">
      <w:start w:val="1"/>
      <w:numFmt w:val="lowerLetter"/>
      <w:lvlText w:val="%8."/>
      <w:lvlJc w:val="left"/>
      <w:pPr>
        <w:ind w:left="7453" w:hanging="360"/>
      </w:pPr>
    </w:lvl>
    <w:lvl w:ilvl="8" w:tplc="040C001B" w:tentative="1">
      <w:start w:val="1"/>
      <w:numFmt w:val="lowerRoman"/>
      <w:lvlText w:val="%9."/>
      <w:lvlJc w:val="right"/>
      <w:pPr>
        <w:ind w:left="81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165894"/>
    <w:rsid w:val="00241D40"/>
    <w:rsid w:val="002B3503"/>
    <w:rsid w:val="0043450E"/>
    <w:rsid w:val="006F21FA"/>
    <w:rsid w:val="0084611E"/>
    <w:rsid w:val="0092030E"/>
    <w:rsid w:val="009446A9"/>
    <w:rsid w:val="009B4511"/>
    <w:rsid w:val="00A130D5"/>
    <w:rsid w:val="00A451E8"/>
    <w:rsid w:val="00B4787A"/>
    <w:rsid w:val="00BC764C"/>
    <w:rsid w:val="00F27B0A"/>
    <w:rsid w:val="00FB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3236A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446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446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446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46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46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46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46A9"/>
    <w:pPr>
      <w:outlineLvl w:val="5"/>
    </w:pPr>
  </w:style>
  <w:style w:type="paragraph" w:styleId="Heading7">
    <w:name w:val="heading 7"/>
    <w:basedOn w:val="H6"/>
    <w:next w:val="Normal"/>
    <w:qFormat/>
    <w:rsid w:val="009446A9"/>
    <w:pPr>
      <w:outlineLvl w:val="6"/>
    </w:pPr>
  </w:style>
  <w:style w:type="paragraph" w:styleId="Heading8">
    <w:name w:val="heading 8"/>
    <w:basedOn w:val="Heading1"/>
    <w:next w:val="Normal"/>
    <w:qFormat/>
    <w:rsid w:val="009446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46A9"/>
    <w:pPr>
      <w:outlineLvl w:val="8"/>
    </w:pPr>
  </w:style>
  <w:style w:type="character" w:default="1" w:styleId="DefaultParagraphFont">
    <w:name w:val="Default Paragraph Font"/>
    <w:semiHidden/>
    <w:rsid w:val="009446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46A9"/>
  </w:style>
  <w:style w:type="paragraph" w:styleId="TOC8">
    <w:name w:val="toc 8"/>
    <w:basedOn w:val="TOC1"/>
    <w:semiHidden/>
    <w:rsid w:val="009446A9"/>
    <w:pPr>
      <w:spacing w:before="180"/>
      <w:ind w:left="2693" w:hanging="2693"/>
    </w:pPr>
    <w:rPr>
      <w:b/>
    </w:rPr>
  </w:style>
  <w:style w:type="paragraph" w:styleId="TOC1">
    <w:name w:val="toc 1"/>
    <w:semiHidden/>
    <w:rsid w:val="009446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446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446A9"/>
    <w:pPr>
      <w:ind w:left="1701" w:hanging="1701"/>
    </w:pPr>
  </w:style>
  <w:style w:type="paragraph" w:styleId="TOC4">
    <w:name w:val="toc 4"/>
    <w:basedOn w:val="TOC3"/>
    <w:semiHidden/>
    <w:rsid w:val="009446A9"/>
    <w:pPr>
      <w:ind w:left="1418" w:hanging="1418"/>
    </w:pPr>
  </w:style>
  <w:style w:type="paragraph" w:styleId="TOC3">
    <w:name w:val="toc 3"/>
    <w:basedOn w:val="TOC2"/>
    <w:semiHidden/>
    <w:rsid w:val="009446A9"/>
    <w:pPr>
      <w:ind w:left="1134" w:hanging="1134"/>
    </w:pPr>
  </w:style>
  <w:style w:type="paragraph" w:styleId="TOC2">
    <w:name w:val="toc 2"/>
    <w:basedOn w:val="TOC1"/>
    <w:semiHidden/>
    <w:rsid w:val="009446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46A9"/>
    <w:pPr>
      <w:ind w:left="284"/>
    </w:pPr>
  </w:style>
  <w:style w:type="paragraph" w:styleId="Index1">
    <w:name w:val="index 1"/>
    <w:basedOn w:val="Normal"/>
    <w:semiHidden/>
    <w:rsid w:val="009446A9"/>
    <w:pPr>
      <w:keepLines/>
      <w:spacing w:after="0"/>
    </w:pPr>
  </w:style>
  <w:style w:type="paragraph" w:customStyle="1" w:styleId="ZH">
    <w:name w:val="ZH"/>
    <w:rsid w:val="009446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446A9"/>
    <w:pPr>
      <w:outlineLvl w:val="9"/>
    </w:pPr>
  </w:style>
  <w:style w:type="paragraph" w:styleId="ListNumber2">
    <w:name w:val="List Number 2"/>
    <w:basedOn w:val="ListNumber"/>
    <w:semiHidden/>
    <w:rsid w:val="009446A9"/>
    <w:pPr>
      <w:ind w:left="851"/>
    </w:pPr>
  </w:style>
  <w:style w:type="paragraph" w:styleId="Header">
    <w:name w:val="header"/>
    <w:semiHidden/>
    <w:rsid w:val="009446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446A9"/>
    <w:rPr>
      <w:b/>
      <w:position w:val="6"/>
      <w:sz w:val="16"/>
    </w:rPr>
  </w:style>
  <w:style w:type="paragraph" w:styleId="FootnoteText">
    <w:name w:val="footnote text"/>
    <w:basedOn w:val="Normal"/>
    <w:semiHidden/>
    <w:rsid w:val="009446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46A9"/>
    <w:rPr>
      <w:b/>
    </w:rPr>
  </w:style>
  <w:style w:type="paragraph" w:customStyle="1" w:styleId="TAC">
    <w:name w:val="TAC"/>
    <w:basedOn w:val="TAL"/>
    <w:rsid w:val="009446A9"/>
    <w:pPr>
      <w:jc w:val="center"/>
    </w:pPr>
  </w:style>
  <w:style w:type="paragraph" w:customStyle="1" w:styleId="TF">
    <w:name w:val="TF"/>
    <w:basedOn w:val="TH"/>
    <w:rsid w:val="009446A9"/>
    <w:pPr>
      <w:keepNext w:val="0"/>
      <w:spacing w:before="0" w:after="240"/>
    </w:pPr>
  </w:style>
  <w:style w:type="paragraph" w:customStyle="1" w:styleId="NO">
    <w:name w:val="NO"/>
    <w:basedOn w:val="Normal"/>
    <w:rsid w:val="009446A9"/>
    <w:pPr>
      <w:keepLines/>
      <w:ind w:left="1135" w:hanging="851"/>
    </w:pPr>
  </w:style>
  <w:style w:type="paragraph" w:styleId="TOC9">
    <w:name w:val="toc 9"/>
    <w:basedOn w:val="TOC8"/>
    <w:semiHidden/>
    <w:rsid w:val="009446A9"/>
    <w:pPr>
      <w:ind w:left="1418" w:hanging="1418"/>
    </w:pPr>
  </w:style>
  <w:style w:type="paragraph" w:customStyle="1" w:styleId="EX">
    <w:name w:val="EX"/>
    <w:basedOn w:val="Normal"/>
    <w:rsid w:val="009446A9"/>
    <w:pPr>
      <w:keepLines/>
      <w:ind w:left="1702" w:hanging="1418"/>
    </w:pPr>
  </w:style>
  <w:style w:type="paragraph" w:customStyle="1" w:styleId="FP">
    <w:name w:val="FP"/>
    <w:basedOn w:val="Normal"/>
    <w:rsid w:val="009446A9"/>
    <w:pPr>
      <w:spacing w:after="0"/>
    </w:pPr>
  </w:style>
  <w:style w:type="paragraph" w:customStyle="1" w:styleId="LD">
    <w:name w:val="LD"/>
    <w:rsid w:val="009446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446A9"/>
    <w:pPr>
      <w:spacing w:after="0"/>
    </w:pPr>
  </w:style>
  <w:style w:type="paragraph" w:customStyle="1" w:styleId="EW">
    <w:name w:val="EW"/>
    <w:basedOn w:val="EX"/>
    <w:rsid w:val="009446A9"/>
    <w:pPr>
      <w:spacing w:after="0"/>
    </w:pPr>
  </w:style>
  <w:style w:type="paragraph" w:styleId="TOC6">
    <w:name w:val="toc 6"/>
    <w:basedOn w:val="TOC5"/>
    <w:next w:val="Normal"/>
    <w:semiHidden/>
    <w:rsid w:val="009446A9"/>
    <w:pPr>
      <w:ind w:left="1985" w:hanging="1985"/>
    </w:pPr>
  </w:style>
  <w:style w:type="paragraph" w:styleId="TOC7">
    <w:name w:val="toc 7"/>
    <w:basedOn w:val="TOC6"/>
    <w:next w:val="Normal"/>
    <w:semiHidden/>
    <w:rsid w:val="009446A9"/>
    <w:pPr>
      <w:ind w:left="2268" w:hanging="2268"/>
    </w:pPr>
  </w:style>
  <w:style w:type="paragraph" w:styleId="ListBullet2">
    <w:name w:val="List Bullet 2"/>
    <w:basedOn w:val="ListBullet"/>
    <w:semiHidden/>
    <w:rsid w:val="009446A9"/>
    <w:pPr>
      <w:ind w:left="851"/>
    </w:pPr>
  </w:style>
  <w:style w:type="paragraph" w:styleId="ListBullet3">
    <w:name w:val="List Bullet 3"/>
    <w:basedOn w:val="ListBullet2"/>
    <w:semiHidden/>
    <w:rsid w:val="009446A9"/>
    <w:pPr>
      <w:ind w:left="1135"/>
    </w:pPr>
  </w:style>
  <w:style w:type="paragraph" w:styleId="ListNumber">
    <w:name w:val="List Number"/>
    <w:basedOn w:val="List"/>
    <w:semiHidden/>
    <w:rsid w:val="009446A9"/>
  </w:style>
  <w:style w:type="paragraph" w:customStyle="1" w:styleId="EQ">
    <w:name w:val="EQ"/>
    <w:basedOn w:val="Normal"/>
    <w:next w:val="Normal"/>
    <w:rsid w:val="009446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46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46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46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446A9"/>
    <w:pPr>
      <w:jc w:val="right"/>
    </w:pPr>
  </w:style>
  <w:style w:type="paragraph" w:customStyle="1" w:styleId="H6">
    <w:name w:val="H6"/>
    <w:basedOn w:val="Heading5"/>
    <w:next w:val="Normal"/>
    <w:rsid w:val="009446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46A9"/>
    <w:pPr>
      <w:ind w:left="851" w:hanging="851"/>
    </w:pPr>
  </w:style>
  <w:style w:type="paragraph" w:customStyle="1" w:styleId="TAL">
    <w:name w:val="TAL"/>
    <w:basedOn w:val="Normal"/>
    <w:rsid w:val="009446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46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446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446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446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446A9"/>
    <w:pPr>
      <w:framePr w:wrap="notBeside" w:y="16161"/>
    </w:pPr>
  </w:style>
  <w:style w:type="character" w:customStyle="1" w:styleId="ZGSM">
    <w:name w:val="ZGSM"/>
    <w:rsid w:val="009446A9"/>
  </w:style>
  <w:style w:type="paragraph" w:styleId="List2">
    <w:name w:val="List 2"/>
    <w:basedOn w:val="List"/>
    <w:semiHidden/>
    <w:rsid w:val="009446A9"/>
    <w:pPr>
      <w:ind w:left="851"/>
    </w:pPr>
  </w:style>
  <w:style w:type="paragraph" w:customStyle="1" w:styleId="ZG">
    <w:name w:val="ZG"/>
    <w:rsid w:val="009446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446A9"/>
    <w:pPr>
      <w:ind w:left="1135"/>
    </w:pPr>
  </w:style>
  <w:style w:type="paragraph" w:styleId="List4">
    <w:name w:val="List 4"/>
    <w:basedOn w:val="List3"/>
    <w:semiHidden/>
    <w:rsid w:val="009446A9"/>
    <w:pPr>
      <w:ind w:left="1418"/>
    </w:pPr>
  </w:style>
  <w:style w:type="paragraph" w:styleId="List5">
    <w:name w:val="List 5"/>
    <w:basedOn w:val="List4"/>
    <w:semiHidden/>
    <w:rsid w:val="009446A9"/>
    <w:pPr>
      <w:ind w:left="1702"/>
    </w:pPr>
  </w:style>
  <w:style w:type="paragraph" w:customStyle="1" w:styleId="EditorsNote">
    <w:name w:val="Editor's Note"/>
    <w:basedOn w:val="NO"/>
    <w:rsid w:val="009446A9"/>
    <w:rPr>
      <w:color w:val="FF0000"/>
    </w:rPr>
  </w:style>
  <w:style w:type="paragraph" w:styleId="List">
    <w:name w:val="List"/>
    <w:basedOn w:val="Normal"/>
    <w:semiHidden/>
    <w:rsid w:val="009446A9"/>
    <w:pPr>
      <w:ind w:left="568" w:hanging="284"/>
    </w:pPr>
  </w:style>
  <w:style w:type="paragraph" w:styleId="ListBullet">
    <w:name w:val="List Bullet"/>
    <w:basedOn w:val="List"/>
    <w:semiHidden/>
    <w:rsid w:val="009446A9"/>
  </w:style>
  <w:style w:type="paragraph" w:styleId="ListBullet4">
    <w:name w:val="List Bullet 4"/>
    <w:basedOn w:val="ListBullet3"/>
    <w:semiHidden/>
    <w:rsid w:val="009446A9"/>
    <w:pPr>
      <w:ind w:left="1418"/>
    </w:pPr>
  </w:style>
  <w:style w:type="paragraph" w:styleId="ListBullet5">
    <w:name w:val="List Bullet 5"/>
    <w:basedOn w:val="ListBullet4"/>
    <w:semiHidden/>
    <w:rsid w:val="009446A9"/>
    <w:pPr>
      <w:ind w:left="1702"/>
    </w:pPr>
  </w:style>
  <w:style w:type="paragraph" w:customStyle="1" w:styleId="B1">
    <w:name w:val="B1"/>
    <w:basedOn w:val="List"/>
    <w:rsid w:val="009446A9"/>
  </w:style>
  <w:style w:type="paragraph" w:customStyle="1" w:styleId="B2">
    <w:name w:val="B2"/>
    <w:basedOn w:val="List2"/>
    <w:rsid w:val="009446A9"/>
  </w:style>
  <w:style w:type="paragraph" w:customStyle="1" w:styleId="B3">
    <w:name w:val="B3"/>
    <w:basedOn w:val="List3"/>
    <w:rsid w:val="009446A9"/>
  </w:style>
  <w:style w:type="paragraph" w:customStyle="1" w:styleId="B4">
    <w:name w:val="B4"/>
    <w:basedOn w:val="List4"/>
    <w:rsid w:val="009446A9"/>
  </w:style>
  <w:style w:type="paragraph" w:customStyle="1" w:styleId="B5">
    <w:name w:val="B5"/>
    <w:basedOn w:val="List5"/>
    <w:rsid w:val="009446A9"/>
  </w:style>
  <w:style w:type="paragraph" w:styleId="Footer">
    <w:name w:val="footer"/>
    <w:basedOn w:val="Header"/>
    <w:semiHidden/>
    <w:rsid w:val="009446A9"/>
    <w:pPr>
      <w:jc w:val="center"/>
    </w:pPr>
    <w:rPr>
      <w:i/>
    </w:rPr>
  </w:style>
  <w:style w:type="paragraph" w:customStyle="1" w:styleId="ZTD">
    <w:name w:val="ZTD"/>
    <w:basedOn w:val="ZB"/>
    <w:rsid w:val="009446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61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307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5</cp:revision>
  <cp:lastPrinted>1899-12-31T22:00:00Z</cp:lastPrinted>
  <dcterms:created xsi:type="dcterms:W3CDTF">2017-04-26T11:27:00Z</dcterms:created>
  <dcterms:modified xsi:type="dcterms:W3CDTF">2017-05-05T13:05:00Z</dcterms:modified>
</cp:coreProperties>
</file>